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E7FA" w14:textId="2BF6A972" w:rsidR="00580282" w:rsidRDefault="00000000" w:rsidP="00321E51">
      <w:pPr>
        <w:pStyle w:val="BodyText"/>
        <w:rPr>
          <w:rFonts w:ascii="Times New Roman"/>
          <w:sz w:val="20"/>
        </w:rPr>
      </w:pPr>
      <w:r>
        <w:pict w14:anchorId="5928E80E">
          <v:group id="_x0000_s1030" style="position:absolute;margin-left:318.75pt;margin-top:-.15pt;width:200.55pt;height:498.55pt;z-index:251664384;mso-position-horizontal-relative:page" coordorigin="6317,-3233" coordsize="4011,7268">
            <v:rect id="_x0000_s1035" style="position:absolute;left:6316;top:-3234;width:4011;height:7268" fillcolor="#002f6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721;top:-1093;width:2455;height:5010" filled="f" stroked="f">
              <v:textbox style="mso-next-textbox:#_x0000_s1034" inset="0,0,0,0">
                <w:txbxContent>
                  <w:p w14:paraId="464539C8" w14:textId="6FFD8B1F" w:rsidR="002151AF" w:rsidRPr="00B4725B" w:rsidRDefault="00E56E02" w:rsidP="000A5E1E">
                    <w:pPr>
                      <w:spacing w:line="283" w:lineRule="exac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B4725B">
                      <w:rPr>
                        <w:color w:val="FFFFFF"/>
                        <w:sz w:val="20"/>
                        <w:szCs w:val="20"/>
                      </w:rPr>
                      <w:t>Differentiate formative from summative feedback and explain why formative feedback is essential for learner growth in clinical settings.</w:t>
                    </w:r>
                    <w:r w:rsidR="00B92D24" w:rsidRPr="00B4725B">
                      <w:rPr>
                        <w:color w:val="FFFFFF" w:themeColor="background1"/>
                        <w:sz w:val="20"/>
                        <w:szCs w:val="20"/>
                      </w:rPr>
                      <w:br/>
                    </w:r>
                  </w:p>
                  <w:p w14:paraId="76C7E2BC" w14:textId="7C3C2DBF" w:rsidR="0046068C" w:rsidRPr="00B4725B" w:rsidRDefault="00B4725B" w:rsidP="00F46CB3">
                    <w:pPr>
                      <w:spacing w:line="283" w:lineRule="exac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B4725B">
                      <w:rPr>
                        <w:color w:val="FFFFFF" w:themeColor="background1"/>
                        <w:sz w:val="20"/>
                        <w:szCs w:val="20"/>
                      </w:rPr>
                      <w:t>Apply a structured, learner-centered feedback framework during real-time clinical encounters.</w:t>
                    </w:r>
                  </w:p>
                  <w:p w14:paraId="483AD457" w14:textId="77777777" w:rsidR="00DE13CE" w:rsidRDefault="00DE13CE" w:rsidP="00F46CB3">
                    <w:pPr>
                      <w:spacing w:line="283" w:lineRule="exact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1C09551F" w14:textId="5758BA57" w:rsidR="00E56E02" w:rsidRDefault="00682734" w:rsidP="00F46CB3">
                    <w:pPr>
                      <w:spacing w:line="283" w:lineRule="exac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82734">
                      <w:rPr>
                        <w:color w:val="FFFFFF" w:themeColor="background1"/>
                        <w:sz w:val="20"/>
                        <w:szCs w:val="20"/>
                      </w:rPr>
                      <w:t>Deliver actionable, behavior-specific feedback that promotes reflection and improvement.</w:t>
                    </w:r>
                  </w:p>
                  <w:p w14:paraId="7AE44A3B" w14:textId="77777777" w:rsidR="00682734" w:rsidRDefault="00682734" w:rsidP="00F46CB3">
                    <w:pPr>
                      <w:spacing w:line="283" w:lineRule="exact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58B155C4" w14:textId="70F3A1AD" w:rsidR="00E56E02" w:rsidRPr="00A8679E" w:rsidRDefault="00A8679E" w:rsidP="00F46CB3">
                    <w:pPr>
                      <w:spacing w:line="283" w:lineRule="exac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A8679E">
                      <w:rPr>
                        <w:color w:val="FFFFFF" w:themeColor="background1"/>
                        <w:sz w:val="20"/>
                        <w:szCs w:val="20"/>
                      </w:rPr>
                      <w:t>Navigate common feedback challenges (limited time, defensive learners, uncertainty about expectations).</w:t>
                    </w:r>
                  </w:p>
                </w:txbxContent>
              </v:textbox>
            </v:shape>
            <v:shape id="_x0000_s1033" type="#_x0000_t202" style="position:absolute;left:7181;top:-1063;width:90;height:4616" filled="f" stroked="f">
              <v:textbox style="mso-next-textbox:#_x0000_s1033" inset="0,0,0,0">
                <w:txbxContent>
                  <w:p w14:paraId="5928E818" w14:textId="77777777" w:rsidR="00580282" w:rsidRPr="00DF6148" w:rsidRDefault="00981B98">
                    <w:pPr>
                      <w:spacing w:line="223" w:lineRule="exact"/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  <w:p w14:paraId="5928E819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6DDF7C6C" w14:textId="77777777" w:rsidR="00321979" w:rsidRDefault="00321979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</w:p>
                  <w:p w14:paraId="1B33C9D6" w14:textId="77777777" w:rsidR="00614F95" w:rsidRDefault="00614F95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</w:p>
                  <w:p w14:paraId="307337AF" w14:textId="77777777" w:rsidR="00614F95" w:rsidRDefault="00614F95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</w:p>
                  <w:p w14:paraId="28CA2955" w14:textId="77777777" w:rsidR="00321979" w:rsidRDefault="00321979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</w:p>
                  <w:p w14:paraId="5878DDBA" w14:textId="77777777" w:rsidR="0020228B" w:rsidRDefault="0020228B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</w:p>
                  <w:p w14:paraId="1BDC0BC1" w14:textId="428F9560" w:rsidR="0020228B" w:rsidRDefault="00036642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br/>
                    </w:r>
                  </w:p>
                  <w:p w14:paraId="5928E81E" w14:textId="77777777" w:rsidR="00580282" w:rsidRPr="00DF6148" w:rsidRDefault="00981B98">
                    <w:pPr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  <w:p w14:paraId="5928E81F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68F54162" w14:textId="77777777" w:rsidR="00614F95" w:rsidRDefault="00614F95">
                    <w:pPr>
                      <w:rPr>
                        <w:rFonts w:ascii="Arial"/>
                      </w:rPr>
                    </w:pPr>
                  </w:p>
                  <w:p w14:paraId="06EFA176" w14:textId="77777777" w:rsidR="00614F95" w:rsidRDefault="00614F95">
                    <w:pPr>
                      <w:rPr>
                        <w:rFonts w:ascii="Arial"/>
                      </w:rPr>
                    </w:pPr>
                  </w:p>
                  <w:p w14:paraId="091C1A2A" w14:textId="48363E43" w:rsidR="00053C10" w:rsidRDefault="00053C10">
                    <w:pPr>
                      <w:spacing w:before="3"/>
                      <w:rPr>
                        <w:rFonts w:ascii="Arial"/>
                        <w:sz w:val="19"/>
                      </w:rPr>
                    </w:pPr>
                  </w:p>
                  <w:p w14:paraId="5928E824" w14:textId="77777777" w:rsidR="00580282" w:rsidRDefault="00981B98">
                    <w:pPr>
                      <w:spacing w:before="1"/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  <w:p w14:paraId="157B370A" w14:textId="77777777" w:rsidR="00835905" w:rsidRDefault="00835905">
                    <w:pPr>
                      <w:spacing w:before="1"/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</w:pPr>
                  </w:p>
                  <w:p w14:paraId="6C3B3647" w14:textId="77777777" w:rsidR="00835905" w:rsidRDefault="00835905">
                    <w:pPr>
                      <w:spacing w:before="1"/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</w:pPr>
                  </w:p>
                  <w:p w14:paraId="6D2929E8" w14:textId="77777777" w:rsidR="00835905" w:rsidRDefault="00835905">
                    <w:pPr>
                      <w:spacing w:before="1"/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</w:pPr>
                  </w:p>
                  <w:p w14:paraId="3EA41459" w14:textId="5A1D46EC" w:rsidR="00835905" w:rsidRDefault="00835905">
                    <w:pPr>
                      <w:spacing w:before="1"/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</w:pPr>
                  </w:p>
                  <w:p w14:paraId="40138364" w14:textId="77777777" w:rsidR="00EF24BD" w:rsidRPr="00DF6148" w:rsidRDefault="00EF24BD" w:rsidP="00EF24BD">
                    <w:pPr>
                      <w:spacing w:before="1"/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  <w:p w14:paraId="21A4F5DD" w14:textId="77777777" w:rsidR="00EF24BD" w:rsidRPr="00DF6148" w:rsidRDefault="00EF24BD">
                    <w:pPr>
                      <w:spacing w:before="1"/>
                      <w:rPr>
                        <w:rFonts w:ascii="Arial" w:hAnsi="Arial"/>
                        <w:sz w:val="24"/>
                        <w:szCs w:val="28"/>
                      </w:rPr>
                    </w:pPr>
                  </w:p>
                  <w:p w14:paraId="5928E825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5928E826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5928E82A" w14:textId="0273979A" w:rsidR="00580282" w:rsidRDefault="00580282">
                    <w:pPr>
                      <w:spacing w:before="1"/>
                      <w:rPr>
                        <w:rFonts w:ascii="Arial" w:hAnsi="Arial"/>
                        <w:sz w:val="24"/>
                        <w:szCs w:val="28"/>
                      </w:rPr>
                    </w:pPr>
                  </w:p>
                  <w:p w14:paraId="4C2B75A7" w14:textId="77777777" w:rsidR="00036642" w:rsidRPr="00EC7085" w:rsidRDefault="00036642" w:rsidP="00EC7085">
                    <w:pPr>
                      <w:spacing w:before="1"/>
                      <w:ind w:left="360"/>
                      <w:rPr>
                        <w:rFonts w:ascii="Arial" w:hAnsi="Arial"/>
                        <w:sz w:val="24"/>
                        <w:szCs w:val="28"/>
                      </w:rPr>
                    </w:pPr>
                  </w:p>
                  <w:p w14:paraId="43DF3E34" w14:textId="3228613A" w:rsidR="00036642" w:rsidRPr="00CB7F86" w:rsidRDefault="003841B6" w:rsidP="00CB7F86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1"/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CB7F86">
                      <w:rPr>
                        <w:rFonts w:ascii="Arial" w:hAnsi="Arial"/>
                        <w:sz w:val="24"/>
                        <w:szCs w:val="28"/>
                      </w:rPr>
                      <w:t>•</w:t>
                    </w:r>
                  </w:p>
                </w:txbxContent>
              </v:textbox>
            </v:shape>
            <v:shape id="_x0000_s1032" type="#_x0000_t202" style="position:absolute;left:6461;top:-2221;width:2901;height:953" filled="f" stroked="f">
              <v:textbox style="mso-next-textbox:#_x0000_s1032" inset="0,0,0,0">
                <w:txbxContent>
                  <w:p w14:paraId="5928E82B" w14:textId="77777777" w:rsidR="00580282" w:rsidRPr="00A83B07" w:rsidRDefault="00981B98">
                    <w:pPr>
                      <w:spacing w:line="283" w:lineRule="exact"/>
                      <w:rPr>
                        <w:sz w:val="28"/>
                      </w:rPr>
                    </w:pPr>
                    <w:r w:rsidRPr="00A83B07">
                      <w:rPr>
                        <w:color w:val="FFFFFF"/>
                        <w:sz w:val="28"/>
                      </w:rPr>
                      <w:t>By the conclusion of this</w:t>
                    </w:r>
                  </w:p>
                  <w:p w14:paraId="5928E82C" w14:textId="77777777" w:rsidR="00580282" w:rsidRPr="00A83B07" w:rsidRDefault="00981B98">
                    <w:pPr>
                      <w:spacing w:before="2" w:line="235" w:lineRule="auto"/>
                      <w:ind w:right="-12"/>
                      <w:rPr>
                        <w:sz w:val="28"/>
                      </w:rPr>
                    </w:pPr>
                    <w:r w:rsidRPr="00A83B07">
                      <w:rPr>
                        <w:color w:val="FFFFFF"/>
                        <w:sz w:val="28"/>
                      </w:rPr>
                      <w:t>session, you should have increased information to:</w:t>
                    </w:r>
                  </w:p>
                </w:txbxContent>
              </v:textbox>
            </v:shape>
            <v:shape id="_x0000_s1031" type="#_x0000_t202" style="position:absolute;left:6461;top:-3095;width:2950;height:360" filled="f" stroked="f">
              <v:textbox style="mso-next-textbox:#_x0000_s1031" inset="0,0,0,0">
                <w:txbxContent>
                  <w:p w14:paraId="5928E82D" w14:textId="77777777" w:rsidR="00580282" w:rsidRPr="00016AD2" w:rsidRDefault="00981B98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 w:rsidRPr="00016AD2">
                      <w:rPr>
                        <w:b/>
                        <w:color w:val="FFFFFF"/>
                        <w:sz w:val="36"/>
                      </w:rPr>
                      <w:t>Learning Objectives</w:t>
                    </w:r>
                  </w:p>
                </w:txbxContent>
              </v:textbox>
            </v:shape>
            <w10:wrap anchorx="page"/>
          </v:group>
        </w:pict>
      </w:r>
      <w:r w:rsidR="008E22F8">
        <w:rPr>
          <w:noProof/>
        </w:rPr>
        <w:drawing>
          <wp:inline distT="0" distB="0" distL="0" distR="0" wp14:anchorId="59CEF0C6" wp14:editId="72F7B5C4">
            <wp:extent cx="3820160" cy="2286000"/>
            <wp:effectExtent l="0" t="0" r="8890" b="0"/>
            <wp:docPr id="1250007119" name="Picture 2" descr="woman demonstrating data on laptop to colleague, guiding through charts, providing feedback and hands-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man demonstrating data on laptop to colleague, guiding through charts, providing feedback and hands-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E7FB" w14:textId="4EB49582" w:rsidR="00580282" w:rsidRDefault="00580282">
      <w:pPr>
        <w:pStyle w:val="BodyText"/>
        <w:spacing w:before="5"/>
        <w:rPr>
          <w:rFonts w:ascii="Times New Roman"/>
          <w:sz w:val="17"/>
        </w:rPr>
      </w:pPr>
      <w:bookmarkStart w:id="0" w:name="Slide_1"/>
      <w:bookmarkEnd w:id="0"/>
    </w:p>
    <w:p w14:paraId="6CA23D38" w14:textId="5700BED9" w:rsidR="00DB2B67" w:rsidRPr="006B147E" w:rsidRDefault="008C3929" w:rsidP="00731181">
      <w:pPr>
        <w:spacing w:before="24" w:line="237" w:lineRule="auto"/>
        <w:ind w:left="222" w:right="4449"/>
        <w:jc w:val="center"/>
        <w:rPr>
          <w:i/>
          <w:color w:val="16406C"/>
          <w:sz w:val="20"/>
          <w:szCs w:val="6"/>
        </w:rPr>
      </w:pPr>
      <w:r w:rsidRPr="00A455E7">
        <w:rPr>
          <w:b/>
          <w:color w:val="002E6C"/>
          <w:sz w:val="36"/>
          <w:szCs w:val="20"/>
        </w:rPr>
        <w:t xml:space="preserve"> </w:t>
      </w:r>
      <w:r w:rsidR="006B147E" w:rsidRPr="00A455E7">
        <w:rPr>
          <w:b/>
          <w:color w:val="002E6C"/>
          <w:sz w:val="36"/>
          <w:szCs w:val="20"/>
        </w:rPr>
        <w:t xml:space="preserve"> </w:t>
      </w:r>
      <w:r w:rsidR="00981B98" w:rsidRPr="00A455E7">
        <w:rPr>
          <w:b/>
          <w:color w:val="002E6C"/>
          <w:sz w:val="36"/>
          <w:szCs w:val="20"/>
        </w:rPr>
        <w:t>202</w:t>
      </w:r>
      <w:r w:rsidR="00E93FFB" w:rsidRPr="00A455E7">
        <w:rPr>
          <w:b/>
          <w:color w:val="002E6C"/>
          <w:sz w:val="36"/>
          <w:szCs w:val="20"/>
        </w:rPr>
        <w:t>5</w:t>
      </w:r>
      <w:r w:rsidR="00016AD2" w:rsidRPr="00A455E7">
        <w:rPr>
          <w:b/>
          <w:color w:val="002E6C"/>
          <w:sz w:val="36"/>
          <w:szCs w:val="20"/>
        </w:rPr>
        <w:t>-2026</w:t>
      </w:r>
      <w:r w:rsidR="00981B98" w:rsidRPr="00A455E7">
        <w:rPr>
          <w:b/>
          <w:color w:val="002E6C"/>
          <w:sz w:val="36"/>
          <w:szCs w:val="20"/>
        </w:rPr>
        <w:t xml:space="preserve"> </w:t>
      </w:r>
      <w:r w:rsidR="00016AD2" w:rsidRPr="00A455E7">
        <w:rPr>
          <w:b/>
          <w:color w:val="002E6C"/>
          <w:sz w:val="36"/>
          <w:szCs w:val="20"/>
        </w:rPr>
        <w:br/>
      </w:r>
      <w:r w:rsidR="00981B98" w:rsidRPr="00A455E7">
        <w:rPr>
          <w:b/>
          <w:color w:val="002E6C"/>
          <w:sz w:val="36"/>
          <w:szCs w:val="20"/>
        </w:rPr>
        <w:t>FACULTY DEVELOPMENT SERIES</w:t>
      </w:r>
      <w:r w:rsidR="00D24784" w:rsidRPr="00A455E7">
        <w:rPr>
          <w:b/>
          <w:sz w:val="44"/>
          <w:szCs w:val="24"/>
        </w:rPr>
        <w:br/>
      </w:r>
    </w:p>
    <w:p w14:paraId="00395762" w14:textId="11E0D9B4" w:rsidR="00DB2B67" w:rsidRDefault="00452EBE" w:rsidP="00731181">
      <w:pPr>
        <w:spacing w:before="24" w:line="237" w:lineRule="auto"/>
        <w:ind w:left="222" w:right="4449"/>
        <w:jc w:val="center"/>
        <w:rPr>
          <w:b/>
          <w:bCs/>
          <w:color w:val="CA5F14"/>
          <w:sz w:val="24"/>
          <w:szCs w:val="24"/>
        </w:rPr>
      </w:pPr>
      <w:r w:rsidRPr="00452EBE">
        <w:rPr>
          <w:i/>
          <w:color w:val="16406C"/>
          <w:sz w:val="40"/>
          <w:szCs w:val="18"/>
        </w:rPr>
        <w:t>"</w:t>
      </w:r>
      <w:r w:rsidR="00A24339" w:rsidRPr="00A24339">
        <w:rPr>
          <w:i/>
          <w:color w:val="16406C"/>
          <w:sz w:val="40"/>
          <w:szCs w:val="18"/>
        </w:rPr>
        <w:t>From Observation to Impact: Delivering Effective Formative Feedback in Clinical Teaching</w:t>
      </w:r>
      <w:r w:rsidRPr="00452EBE">
        <w:rPr>
          <w:i/>
          <w:color w:val="16406C"/>
          <w:sz w:val="40"/>
          <w:szCs w:val="18"/>
        </w:rPr>
        <w:t>"</w:t>
      </w:r>
    </w:p>
    <w:p w14:paraId="2C87D351" w14:textId="77777777" w:rsidR="007D7BB5" w:rsidRDefault="007D7BB5" w:rsidP="00731181">
      <w:pPr>
        <w:spacing w:before="24" w:line="237" w:lineRule="auto"/>
        <w:ind w:left="222" w:right="4449"/>
        <w:jc w:val="center"/>
        <w:rPr>
          <w:b/>
          <w:bCs/>
          <w:color w:val="CA5F14"/>
          <w:sz w:val="24"/>
          <w:szCs w:val="24"/>
        </w:rPr>
      </w:pPr>
    </w:p>
    <w:p w14:paraId="5928E7FE" w14:textId="50DF423E" w:rsidR="00580282" w:rsidRPr="00731181" w:rsidRDefault="00981B98" w:rsidP="00731181">
      <w:pPr>
        <w:spacing w:before="24" w:line="237" w:lineRule="auto"/>
        <w:ind w:left="222" w:right="4449"/>
        <w:jc w:val="center"/>
        <w:rPr>
          <w:b/>
          <w:sz w:val="36"/>
          <w:szCs w:val="20"/>
        </w:rPr>
      </w:pPr>
      <w:r w:rsidRPr="00731181">
        <w:rPr>
          <w:b/>
          <w:bCs/>
          <w:color w:val="CA5F14"/>
          <w:sz w:val="24"/>
          <w:szCs w:val="24"/>
        </w:rPr>
        <w:t xml:space="preserve">THURSDAY, </w:t>
      </w:r>
      <w:r w:rsidR="00A24339">
        <w:rPr>
          <w:b/>
          <w:bCs/>
          <w:color w:val="CA5F14"/>
          <w:sz w:val="24"/>
          <w:szCs w:val="24"/>
        </w:rPr>
        <w:t>February</w:t>
      </w:r>
      <w:r w:rsidR="005F3C33">
        <w:rPr>
          <w:b/>
          <w:bCs/>
          <w:color w:val="CA5F14"/>
          <w:sz w:val="24"/>
          <w:szCs w:val="24"/>
        </w:rPr>
        <w:t xml:space="preserve"> 19</w:t>
      </w:r>
      <w:r w:rsidR="003F237A" w:rsidRPr="00731181">
        <w:rPr>
          <w:b/>
          <w:bCs/>
          <w:color w:val="CA5F14"/>
          <w:sz w:val="24"/>
          <w:szCs w:val="24"/>
        </w:rPr>
        <w:t>, 202</w:t>
      </w:r>
      <w:r w:rsidR="00C5716A">
        <w:rPr>
          <w:b/>
          <w:bCs/>
          <w:color w:val="CA5F14"/>
          <w:sz w:val="24"/>
          <w:szCs w:val="24"/>
        </w:rPr>
        <w:t>6</w:t>
      </w:r>
    </w:p>
    <w:p w14:paraId="7EA01208" w14:textId="0AB3AD49" w:rsidR="00DB2B67" w:rsidRPr="006B147E" w:rsidRDefault="00000000" w:rsidP="006B147E">
      <w:pPr>
        <w:spacing w:line="384" w:lineRule="exact"/>
        <w:ind w:left="224" w:right="4449"/>
        <w:jc w:val="center"/>
        <w:rPr>
          <w:b/>
          <w:sz w:val="24"/>
          <w:szCs w:val="18"/>
        </w:rPr>
      </w:pPr>
      <w:r>
        <w:rPr>
          <w:sz w:val="18"/>
          <w:szCs w:val="18"/>
        </w:rPr>
        <w:pict w14:anchorId="5928E80F">
          <v:shape id="_x0000_s1029" type="#_x0000_t202" style="position:absolute;left:0;text-align:left;margin-left:386.05pt;margin-top:12.85pt;width:93.25pt;height:14.05pt;z-index:-251762688;mso-position-horizontal-relative:page" filled="f" stroked="f">
            <v:textbox inset="0,0,0,0">
              <w:txbxContent>
                <w:p w14:paraId="5928E82E" w14:textId="77777777" w:rsidR="00580282" w:rsidRDefault="00981B98">
                  <w:pPr>
                    <w:spacing w:line="281" w:lineRule="exac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 xml:space="preserve">your </w:t>
                  </w:r>
                  <w:r>
                    <w:rPr>
                      <w:color w:val="FFFFFF"/>
                      <w:spacing w:val="-3"/>
                      <w:sz w:val="28"/>
                    </w:rPr>
                    <w:t>innovation.</w:t>
                  </w:r>
                </w:p>
              </w:txbxContent>
            </v:textbox>
            <w10:wrap anchorx="page"/>
          </v:shape>
        </w:pict>
      </w:r>
      <w:r w:rsidR="00981B98" w:rsidRPr="00731181">
        <w:rPr>
          <w:b/>
          <w:color w:val="CA5F14"/>
          <w:sz w:val="24"/>
          <w:szCs w:val="18"/>
        </w:rPr>
        <w:t>12:00 – 1:00 P.M.</w:t>
      </w:r>
    </w:p>
    <w:p w14:paraId="45342B63" w14:textId="5B2AC1F1" w:rsidR="00DB2B67" w:rsidRPr="006B147E" w:rsidRDefault="00981B98" w:rsidP="006B147E">
      <w:pPr>
        <w:spacing w:line="387" w:lineRule="exact"/>
        <w:ind w:left="229" w:right="4449"/>
        <w:jc w:val="center"/>
        <w:rPr>
          <w:b/>
          <w:szCs w:val="16"/>
        </w:rPr>
      </w:pPr>
      <w:r w:rsidRPr="00731181">
        <w:rPr>
          <w:b/>
          <w:color w:val="CA5F14"/>
          <w:sz w:val="24"/>
          <w:szCs w:val="18"/>
        </w:rPr>
        <w:t xml:space="preserve">UT TYLER ACADEMIC BUILDING </w:t>
      </w:r>
      <w:r w:rsidR="002304C6">
        <w:rPr>
          <w:b/>
          <w:color w:val="CA5F14"/>
          <w:sz w:val="24"/>
          <w:szCs w:val="18"/>
        </w:rPr>
        <w:t>Virtual</w:t>
      </w:r>
      <w:r w:rsidR="00731181">
        <w:rPr>
          <w:b/>
          <w:color w:val="CA5F14"/>
          <w:sz w:val="24"/>
          <w:szCs w:val="18"/>
        </w:rPr>
        <w:br/>
      </w:r>
      <w:hyperlink r:id="rId6" w:history="1">
        <w:r w:rsidR="00AC7948" w:rsidRPr="0094206D">
          <w:rPr>
            <w:rStyle w:val="Hyperlink"/>
            <w:b/>
            <w:sz w:val="28"/>
            <w:szCs w:val="20"/>
          </w:rPr>
          <w:t>Teams</w:t>
        </w:r>
        <w:r w:rsidR="00731181" w:rsidRPr="0094206D">
          <w:rPr>
            <w:rStyle w:val="Hyperlink"/>
            <w:b/>
            <w:sz w:val="28"/>
            <w:szCs w:val="20"/>
          </w:rPr>
          <w:t xml:space="preserve"> Link</w:t>
        </w:r>
      </w:hyperlink>
      <w:r w:rsidR="00731181" w:rsidRPr="00567B21">
        <w:rPr>
          <w:b/>
          <w:color w:val="CA5F14"/>
          <w:sz w:val="28"/>
          <w:szCs w:val="20"/>
        </w:rPr>
        <w:t xml:space="preserve"> </w:t>
      </w:r>
    </w:p>
    <w:p w14:paraId="5374A5FF" w14:textId="00165496" w:rsidR="0026204E" w:rsidRPr="005763EE" w:rsidRDefault="00981B98" w:rsidP="007F0BC7">
      <w:pPr>
        <w:pStyle w:val="Heading2"/>
        <w:spacing w:before="67"/>
        <w:ind w:left="0"/>
        <w:rPr>
          <w:b w:val="0"/>
          <w:bCs w:val="0"/>
          <w:color w:val="0F243E" w:themeColor="text2" w:themeShade="80"/>
          <w:sz w:val="20"/>
          <w:szCs w:val="28"/>
        </w:rPr>
      </w:pPr>
      <w:r w:rsidRPr="00BF22B1">
        <w:rPr>
          <w:color w:val="CA5F14"/>
          <w:sz w:val="28"/>
          <w:szCs w:val="28"/>
        </w:rPr>
        <w:t>Presenter:</w:t>
      </w:r>
      <w:r w:rsidR="002B3C7B" w:rsidRPr="00BF22B1">
        <w:rPr>
          <w:bCs w:val="0"/>
          <w:noProof/>
          <w:color w:val="0F243E" w:themeColor="text2" w:themeShade="80"/>
          <w:sz w:val="22"/>
          <w:szCs w:val="32"/>
        </w:rPr>
        <w:t xml:space="preserve">       </w:t>
      </w:r>
      <w:r w:rsidR="00963FCF">
        <w:rPr>
          <w:bCs w:val="0"/>
          <w:noProof/>
          <w:color w:val="0F243E" w:themeColor="text2" w:themeShade="80"/>
          <w:sz w:val="20"/>
          <w:szCs w:val="28"/>
        </w:rPr>
        <w:tab/>
      </w:r>
      <w:r w:rsidR="00963FCF">
        <w:rPr>
          <w:bCs w:val="0"/>
          <w:noProof/>
          <w:color w:val="0F243E" w:themeColor="text2" w:themeShade="80"/>
          <w:sz w:val="20"/>
          <w:szCs w:val="28"/>
        </w:rPr>
        <w:tab/>
      </w:r>
      <w:r w:rsidR="00963FCF">
        <w:rPr>
          <w:bCs w:val="0"/>
          <w:noProof/>
          <w:color w:val="0F243E" w:themeColor="text2" w:themeShade="80"/>
          <w:sz w:val="20"/>
          <w:szCs w:val="28"/>
        </w:rPr>
        <w:tab/>
      </w:r>
      <w:r w:rsidR="00963FCF">
        <w:rPr>
          <w:bCs w:val="0"/>
          <w:noProof/>
          <w:color w:val="0F243E" w:themeColor="text2" w:themeShade="80"/>
          <w:sz w:val="20"/>
          <w:szCs w:val="28"/>
        </w:rPr>
        <w:tab/>
      </w:r>
      <w:r w:rsidR="00963FCF">
        <w:rPr>
          <w:bCs w:val="0"/>
          <w:noProof/>
          <w:color w:val="0F243E" w:themeColor="text2" w:themeShade="80"/>
          <w:sz w:val="20"/>
          <w:szCs w:val="28"/>
        </w:rPr>
        <w:tab/>
      </w:r>
      <w:r w:rsidR="00963FCF">
        <w:rPr>
          <w:bCs w:val="0"/>
          <w:noProof/>
          <w:color w:val="0F243E" w:themeColor="text2" w:themeShade="80"/>
          <w:sz w:val="20"/>
          <w:szCs w:val="28"/>
        </w:rPr>
        <w:tab/>
      </w:r>
      <w:r w:rsidR="007F0BC7">
        <w:rPr>
          <w:bCs w:val="0"/>
          <w:noProof/>
          <w:color w:val="0F243E" w:themeColor="text2" w:themeShade="80"/>
          <w:sz w:val="20"/>
          <w:szCs w:val="28"/>
        </w:rPr>
        <w:br/>
      </w:r>
      <w:r w:rsidR="00961EBB" w:rsidRPr="00961EBB">
        <w:rPr>
          <w:color w:val="0F243E" w:themeColor="text2" w:themeShade="80"/>
          <w:sz w:val="28"/>
        </w:rPr>
        <w:t xml:space="preserve">Katie Root, MD, MHA, FACP, Dipl. ABLM, </w:t>
      </w:r>
      <w:r w:rsidR="00A8679E">
        <w:rPr>
          <w:color w:val="0F243E" w:themeColor="text2" w:themeShade="80"/>
          <w:sz w:val="28"/>
        </w:rPr>
        <w:br/>
        <w:t xml:space="preserve">   </w:t>
      </w:r>
      <w:r w:rsidR="00961EBB" w:rsidRPr="00961EBB">
        <w:rPr>
          <w:color w:val="0F243E" w:themeColor="text2" w:themeShade="80"/>
          <w:sz w:val="28"/>
        </w:rPr>
        <w:t>Dipl. ABOM</w:t>
      </w:r>
      <w:r w:rsidR="00E27C38">
        <w:rPr>
          <w:color w:val="0F243E" w:themeColor="text2" w:themeShade="80"/>
          <w:sz w:val="28"/>
        </w:rPr>
        <w:tab/>
      </w:r>
      <w:r w:rsidR="00E27C38">
        <w:rPr>
          <w:color w:val="0F243E" w:themeColor="text2" w:themeShade="80"/>
          <w:sz w:val="28"/>
        </w:rPr>
        <w:tab/>
      </w:r>
      <w:r w:rsidR="00E27C38">
        <w:rPr>
          <w:color w:val="0F243E" w:themeColor="text2" w:themeShade="80"/>
          <w:sz w:val="28"/>
        </w:rPr>
        <w:tab/>
      </w:r>
      <w:r w:rsidR="0028752A" w:rsidRPr="00BF22B1">
        <w:rPr>
          <w:color w:val="0F243E" w:themeColor="text2" w:themeShade="80"/>
          <w:sz w:val="32"/>
          <w:szCs w:val="28"/>
        </w:rPr>
        <w:br/>
      </w:r>
      <w:r w:rsidR="005763EE" w:rsidRPr="005763EE">
        <w:rPr>
          <w:b w:val="0"/>
          <w:bCs w:val="0"/>
          <w:color w:val="0F243E" w:themeColor="text2" w:themeShade="80"/>
          <w:sz w:val="20"/>
          <w:szCs w:val="28"/>
        </w:rPr>
        <w:t>Assistant Professor of Medicine</w:t>
      </w:r>
      <w:r w:rsidR="005763EE">
        <w:rPr>
          <w:b w:val="0"/>
          <w:bCs w:val="0"/>
          <w:color w:val="0F243E" w:themeColor="text2" w:themeShade="80"/>
          <w:sz w:val="20"/>
          <w:szCs w:val="28"/>
        </w:rPr>
        <w:br/>
      </w:r>
      <w:r w:rsidR="00961EBB">
        <w:rPr>
          <w:b w:val="0"/>
          <w:bCs w:val="0"/>
          <w:color w:val="0F243E" w:themeColor="text2" w:themeShade="80"/>
          <w:sz w:val="20"/>
          <w:szCs w:val="28"/>
        </w:rPr>
        <w:t xml:space="preserve">Assistant </w:t>
      </w:r>
      <w:r w:rsidR="005E4955" w:rsidRPr="005E4955">
        <w:rPr>
          <w:b w:val="0"/>
          <w:bCs w:val="0"/>
          <w:color w:val="0F243E" w:themeColor="text2" w:themeShade="80"/>
          <w:sz w:val="20"/>
          <w:szCs w:val="28"/>
        </w:rPr>
        <w:t>Professor of Medical Education</w:t>
      </w:r>
      <w:r w:rsidR="00E27C38">
        <w:rPr>
          <w:b w:val="0"/>
          <w:bCs w:val="0"/>
          <w:color w:val="0F243E" w:themeColor="text2" w:themeShade="80"/>
          <w:sz w:val="20"/>
          <w:szCs w:val="28"/>
        </w:rPr>
        <w:tab/>
      </w:r>
    </w:p>
    <w:p w14:paraId="77FF8BB9" w14:textId="107B13E7" w:rsidR="004C32D6" w:rsidRDefault="0043142F" w:rsidP="003C0C8A">
      <w:pPr>
        <w:spacing w:before="23"/>
        <w:rPr>
          <w:bCs/>
          <w:color w:val="0F243E" w:themeColor="text2" w:themeShade="80"/>
          <w:sz w:val="20"/>
          <w:szCs w:val="28"/>
        </w:rPr>
      </w:pPr>
      <w:r>
        <w:rPr>
          <w:bCs/>
          <w:color w:val="0F243E" w:themeColor="text2" w:themeShade="80"/>
          <w:sz w:val="20"/>
          <w:szCs w:val="28"/>
        </w:rPr>
        <w:t>UT Tyler School of Medicine</w:t>
      </w:r>
      <w:r w:rsidR="006A3F1B">
        <w:rPr>
          <w:bCs/>
          <w:color w:val="0F243E" w:themeColor="text2" w:themeShade="80"/>
          <w:sz w:val="20"/>
          <w:szCs w:val="28"/>
        </w:rPr>
        <w:tab/>
      </w:r>
    </w:p>
    <w:p w14:paraId="5928E807" w14:textId="71C283D1" w:rsidR="00580282" w:rsidRPr="00494030" w:rsidRDefault="00F0432F" w:rsidP="006E6D77">
      <w:pPr>
        <w:spacing w:before="56" w:line="235" w:lineRule="auto"/>
        <w:ind w:right="346"/>
        <w:rPr>
          <w:szCs w:val="20"/>
        </w:rPr>
      </w:pPr>
      <w:r>
        <w:rPr>
          <w:szCs w:val="20"/>
        </w:rPr>
        <w:br/>
      </w:r>
      <w:r w:rsidR="00981B98" w:rsidRPr="00494030">
        <w:rPr>
          <w:szCs w:val="20"/>
        </w:rPr>
        <w:t>The UT Tyler School of Medicine Faculty Development Series is sponsored by the Office of Faculty Affairs</w:t>
      </w:r>
      <w:r w:rsidR="0082207F">
        <w:rPr>
          <w:szCs w:val="20"/>
        </w:rPr>
        <w:t xml:space="preserve"> &amp; Professional </w:t>
      </w:r>
      <w:r w:rsidR="009200BE">
        <w:rPr>
          <w:szCs w:val="20"/>
        </w:rPr>
        <w:t>Development</w:t>
      </w:r>
      <w:r w:rsidR="00981B98" w:rsidRPr="00494030">
        <w:rPr>
          <w:szCs w:val="20"/>
        </w:rPr>
        <w:t xml:space="preserve"> and </w:t>
      </w:r>
      <w:r w:rsidR="00806C7D">
        <w:rPr>
          <w:szCs w:val="20"/>
        </w:rPr>
        <w:t xml:space="preserve">the </w:t>
      </w:r>
      <w:r w:rsidR="009200BE">
        <w:rPr>
          <w:szCs w:val="20"/>
        </w:rPr>
        <w:t xml:space="preserve">Department of </w:t>
      </w:r>
      <w:r w:rsidR="00981B98" w:rsidRPr="00494030">
        <w:rPr>
          <w:szCs w:val="20"/>
        </w:rPr>
        <w:t xml:space="preserve">Medical Education. This series is designed to change competencies that align with assessment and enhance reflective practice and guide student learners to be </w:t>
      </w:r>
      <w:r w:rsidR="00F71547" w:rsidRPr="00494030">
        <w:rPr>
          <w:szCs w:val="20"/>
        </w:rPr>
        <w:t>self</w:t>
      </w:r>
      <w:r w:rsidR="00981B98" w:rsidRPr="00494030">
        <w:rPr>
          <w:szCs w:val="20"/>
        </w:rPr>
        <w:t xml:space="preserve">-regulated, lifelong </w:t>
      </w:r>
      <w:r w:rsidR="00E978A4" w:rsidRPr="00494030">
        <w:rPr>
          <w:szCs w:val="20"/>
        </w:rPr>
        <w:t>learners</w:t>
      </w:r>
      <w:r w:rsidR="00981B98" w:rsidRPr="00494030">
        <w:rPr>
          <w:szCs w:val="20"/>
        </w:rPr>
        <w:t>.</w:t>
      </w:r>
    </w:p>
    <w:p w14:paraId="5928E809" w14:textId="77777777" w:rsidR="00580282" w:rsidRDefault="00580282">
      <w:pPr>
        <w:pStyle w:val="BodyText"/>
        <w:spacing w:before="6"/>
        <w:rPr>
          <w:sz w:val="19"/>
        </w:rPr>
      </w:pPr>
    </w:p>
    <w:p w14:paraId="649D49FD" w14:textId="10532CA6" w:rsidR="00F25D2B" w:rsidRDefault="00F25D2B" w:rsidP="00F25D2B">
      <w:pPr>
        <w:pStyle w:val="BodyText"/>
        <w:spacing w:line="235" w:lineRule="auto"/>
        <w:ind w:right="346"/>
      </w:pPr>
      <w:r>
        <w:t>The University of Texas at Tyler Health Science Center is accredited by the Texas Medical Association to provide continuing medical education for physicians.</w:t>
      </w:r>
      <w:r w:rsidR="00F0432F">
        <w:br/>
      </w:r>
    </w:p>
    <w:p w14:paraId="012C6DFE" w14:textId="5689AD8D" w:rsidR="00F25D2B" w:rsidRDefault="00F0432F" w:rsidP="00F25D2B">
      <w:pPr>
        <w:pStyle w:val="BodyText"/>
        <w:spacing w:line="235" w:lineRule="auto"/>
        <w:ind w:right="346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928E811" wp14:editId="4E7FA75E">
            <wp:simplePos x="0" y="0"/>
            <wp:positionH relativeFrom="page">
              <wp:posOffset>3228146</wp:posOffset>
            </wp:positionH>
            <wp:positionV relativeFrom="paragraph">
              <wp:posOffset>404752</wp:posOffset>
            </wp:positionV>
            <wp:extent cx="3107055" cy="4743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32F">
        <w:t xml:space="preserve">The University of Texas at Tyler Health Science Center designates this live educational activity for a maximum of </w:t>
      </w:r>
      <w:r w:rsidRPr="00642150">
        <w:rPr>
          <w:b/>
          <w:bCs/>
          <w:i/>
          <w:iCs/>
          <w:u w:val="single"/>
        </w:rPr>
        <w:t xml:space="preserve">1.0 AMA PRA Category 1 </w:t>
      </w:r>
      <w:proofErr w:type="spellStart"/>
      <w:r w:rsidRPr="00642150">
        <w:rPr>
          <w:b/>
          <w:bCs/>
          <w:i/>
          <w:iCs/>
          <w:u w:val="single"/>
        </w:rPr>
        <w:t>credit</w:t>
      </w:r>
      <w:r w:rsidR="002C29AC" w:rsidRPr="00642150">
        <w:rPr>
          <w:b/>
          <w:bCs/>
          <w:i/>
          <w:iCs/>
          <w:u w:val="single"/>
          <w:vertAlign w:val="superscript"/>
        </w:rPr>
        <w:t>TM</w:t>
      </w:r>
      <w:proofErr w:type="spellEnd"/>
      <w:r w:rsidRPr="00F0432F">
        <w:t>.  Participants should only claim credit commensurate with the extent of their participation in the activity</w:t>
      </w:r>
      <w:r w:rsidR="0097324A">
        <w:t>.</w:t>
      </w:r>
    </w:p>
    <w:sectPr w:rsidR="00F25D2B" w:rsidSect="00981B98">
      <w:type w:val="continuous"/>
      <w:pgSz w:w="10800" w:h="14400"/>
      <w:pgMar w:top="432" w:right="360" w:bottom="0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C86"/>
    <w:multiLevelType w:val="hybridMultilevel"/>
    <w:tmpl w:val="D036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26DC"/>
    <w:multiLevelType w:val="hybridMultilevel"/>
    <w:tmpl w:val="FED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C04A3"/>
    <w:multiLevelType w:val="hybridMultilevel"/>
    <w:tmpl w:val="2ED4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32418">
    <w:abstractNumId w:val="0"/>
  </w:num>
  <w:num w:numId="2" w16cid:durableId="905068007">
    <w:abstractNumId w:val="1"/>
  </w:num>
  <w:num w:numId="3" w16cid:durableId="70753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282"/>
    <w:rsid w:val="00016AD2"/>
    <w:rsid w:val="00031D82"/>
    <w:rsid w:val="00036642"/>
    <w:rsid w:val="00044386"/>
    <w:rsid w:val="00052477"/>
    <w:rsid w:val="00053C10"/>
    <w:rsid w:val="000544C9"/>
    <w:rsid w:val="000677FC"/>
    <w:rsid w:val="00080A8D"/>
    <w:rsid w:val="000A5E1E"/>
    <w:rsid w:val="000B0155"/>
    <w:rsid w:val="000C5F66"/>
    <w:rsid w:val="000E67F7"/>
    <w:rsid w:val="000F3EF9"/>
    <w:rsid w:val="001016FB"/>
    <w:rsid w:val="00133528"/>
    <w:rsid w:val="00140314"/>
    <w:rsid w:val="001428AA"/>
    <w:rsid w:val="00152D8D"/>
    <w:rsid w:val="001572E2"/>
    <w:rsid w:val="001752DE"/>
    <w:rsid w:val="00192318"/>
    <w:rsid w:val="00193227"/>
    <w:rsid w:val="001A1E04"/>
    <w:rsid w:val="001C4448"/>
    <w:rsid w:val="001C5445"/>
    <w:rsid w:val="001F4EA3"/>
    <w:rsid w:val="0020228B"/>
    <w:rsid w:val="00205053"/>
    <w:rsid w:val="002151AF"/>
    <w:rsid w:val="002304C6"/>
    <w:rsid w:val="00243415"/>
    <w:rsid w:val="0026204E"/>
    <w:rsid w:val="0027175C"/>
    <w:rsid w:val="0028752A"/>
    <w:rsid w:val="002A5A87"/>
    <w:rsid w:val="002B3C7B"/>
    <w:rsid w:val="002C29AC"/>
    <w:rsid w:val="002E5F54"/>
    <w:rsid w:val="002F5665"/>
    <w:rsid w:val="00321979"/>
    <w:rsid w:val="00321E51"/>
    <w:rsid w:val="00333F33"/>
    <w:rsid w:val="00343C0F"/>
    <w:rsid w:val="0036775D"/>
    <w:rsid w:val="003841B6"/>
    <w:rsid w:val="003A0A33"/>
    <w:rsid w:val="003C0C8A"/>
    <w:rsid w:val="003C3BD7"/>
    <w:rsid w:val="003E1E0C"/>
    <w:rsid w:val="003F237A"/>
    <w:rsid w:val="0043142F"/>
    <w:rsid w:val="00452EBE"/>
    <w:rsid w:val="0046068C"/>
    <w:rsid w:val="00463561"/>
    <w:rsid w:val="004738BD"/>
    <w:rsid w:val="00494030"/>
    <w:rsid w:val="004B2E60"/>
    <w:rsid w:val="004C32D6"/>
    <w:rsid w:val="004E48A7"/>
    <w:rsid w:val="004F6F7F"/>
    <w:rsid w:val="0051625C"/>
    <w:rsid w:val="00523BD2"/>
    <w:rsid w:val="005452C3"/>
    <w:rsid w:val="00567B21"/>
    <w:rsid w:val="005763EE"/>
    <w:rsid w:val="00580282"/>
    <w:rsid w:val="005D1CFF"/>
    <w:rsid w:val="005E07A1"/>
    <w:rsid w:val="005E4955"/>
    <w:rsid w:val="005F3C33"/>
    <w:rsid w:val="00610AFB"/>
    <w:rsid w:val="00614F95"/>
    <w:rsid w:val="00625C31"/>
    <w:rsid w:val="00642150"/>
    <w:rsid w:val="00675E3D"/>
    <w:rsid w:val="00682734"/>
    <w:rsid w:val="0069208C"/>
    <w:rsid w:val="00692D25"/>
    <w:rsid w:val="006967C3"/>
    <w:rsid w:val="006A065C"/>
    <w:rsid w:val="006A3F1B"/>
    <w:rsid w:val="006B147E"/>
    <w:rsid w:val="006D0D63"/>
    <w:rsid w:val="006E6D77"/>
    <w:rsid w:val="006F7CB7"/>
    <w:rsid w:val="00706108"/>
    <w:rsid w:val="007200A9"/>
    <w:rsid w:val="00731181"/>
    <w:rsid w:val="007C7FA8"/>
    <w:rsid w:val="007D7BB5"/>
    <w:rsid w:val="007F0BC7"/>
    <w:rsid w:val="007F6602"/>
    <w:rsid w:val="00806C7D"/>
    <w:rsid w:val="00817D33"/>
    <w:rsid w:val="0082207F"/>
    <w:rsid w:val="008225DB"/>
    <w:rsid w:val="00835905"/>
    <w:rsid w:val="0085094F"/>
    <w:rsid w:val="008C3929"/>
    <w:rsid w:val="008C76D5"/>
    <w:rsid w:val="008D21DA"/>
    <w:rsid w:val="008E22F8"/>
    <w:rsid w:val="008E660F"/>
    <w:rsid w:val="008F7ECB"/>
    <w:rsid w:val="009001A4"/>
    <w:rsid w:val="0090199A"/>
    <w:rsid w:val="009200BE"/>
    <w:rsid w:val="0094206D"/>
    <w:rsid w:val="00954C41"/>
    <w:rsid w:val="00961EBB"/>
    <w:rsid w:val="00963FCF"/>
    <w:rsid w:val="0097324A"/>
    <w:rsid w:val="00981B98"/>
    <w:rsid w:val="009A483C"/>
    <w:rsid w:val="009A6CF4"/>
    <w:rsid w:val="009D2B8E"/>
    <w:rsid w:val="009D7FA2"/>
    <w:rsid w:val="00A24339"/>
    <w:rsid w:val="00A25EF3"/>
    <w:rsid w:val="00A2743B"/>
    <w:rsid w:val="00A455E7"/>
    <w:rsid w:val="00A83B07"/>
    <w:rsid w:val="00A8679E"/>
    <w:rsid w:val="00AB29C1"/>
    <w:rsid w:val="00AC7948"/>
    <w:rsid w:val="00AF1216"/>
    <w:rsid w:val="00B4725B"/>
    <w:rsid w:val="00B6022B"/>
    <w:rsid w:val="00B62EF2"/>
    <w:rsid w:val="00B66534"/>
    <w:rsid w:val="00B92D24"/>
    <w:rsid w:val="00BA66BB"/>
    <w:rsid w:val="00BB3CC5"/>
    <w:rsid w:val="00BB5F74"/>
    <w:rsid w:val="00BE25E1"/>
    <w:rsid w:val="00BF1D11"/>
    <w:rsid w:val="00BF22B1"/>
    <w:rsid w:val="00C5716A"/>
    <w:rsid w:val="00C629A8"/>
    <w:rsid w:val="00C71E6E"/>
    <w:rsid w:val="00C828C9"/>
    <w:rsid w:val="00CB7F86"/>
    <w:rsid w:val="00D23841"/>
    <w:rsid w:val="00D24784"/>
    <w:rsid w:val="00D26D53"/>
    <w:rsid w:val="00D32355"/>
    <w:rsid w:val="00D40545"/>
    <w:rsid w:val="00D42972"/>
    <w:rsid w:val="00D47784"/>
    <w:rsid w:val="00D54B4F"/>
    <w:rsid w:val="00D93108"/>
    <w:rsid w:val="00D9499A"/>
    <w:rsid w:val="00DA5927"/>
    <w:rsid w:val="00DB0A3C"/>
    <w:rsid w:val="00DB2B67"/>
    <w:rsid w:val="00DB6524"/>
    <w:rsid w:val="00DE13CE"/>
    <w:rsid w:val="00DF6148"/>
    <w:rsid w:val="00E26A37"/>
    <w:rsid w:val="00E27C38"/>
    <w:rsid w:val="00E4022D"/>
    <w:rsid w:val="00E56E02"/>
    <w:rsid w:val="00E76F51"/>
    <w:rsid w:val="00E9378C"/>
    <w:rsid w:val="00E93FFB"/>
    <w:rsid w:val="00E978A4"/>
    <w:rsid w:val="00EA3094"/>
    <w:rsid w:val="00EC3010"/>
    <w:rsid w:val="00EC7085"/>
    <w:rsid w:val="00EC7C03"/>
    <w:rsid w:val="00EF03A6"/>
    <w:rsid w:val="00EF0448"/>
    <w:rsid w:val="00EF24BD"/>
    <w:rsid w:val="00F0432F"/>
    <w:rsid w:val="00F23606"/>
    <w:rsid w:val="00F25D2B"/>
    <w:rsid w:val="00F40F6F"/>
    <w:rsid w:val="00F46CB3"/>
    <w:rsid w:val="00F71547"/>
    <w:rsid w:val="00F92C91"/>
    <w:rsid w:val="00FA1860"/>
    <w:rsid w:val="00FC4DBA"/>
    <w:rsid w:val="00FC7A2C"/>
    <w:rsid w:val="00FE330A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928E7FA"/>
  <w15:docId w15:val="{A1076BD0-4D48-497D-8F59-C72C253B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87" w:lineRule="exact"/>
      <w:ind w:left="224" w:right="444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2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2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E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oin%20the%20meeting%20no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Lucchesi, Pamela</dc:creator>
  <cp:lastModifiedBy>DeWitt, Virginia (D’Anne)</cp:lastModifiedBy>
  <cp:revision>49</cp:revision>
  <dcterms:created xsi:type="dcterms:W3CDTF">2025-12-15T18:00:00Z</dcterms:created>
  <dcterms:modified xsi:type="dcterms:W3CDTF">2026-01-30T15:08:00Z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2024-09-25T00:00:00Z</vt:filetime>
  </property>
</Properties>
</file>